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8341757" name="Picture">
</wp:docPr>
                  <a:graphic>
                    <a:graphicData uri="http://schemas.openxmlformats.org/drawingml/2006/picture">
                      <pic:pic>
                        <pic:nvPicPr>
                          <pic:cNvPr id="50834175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0831808" name="Picture">
</wp:docPr>
                  <a:graphic>
                    <a:graphicData uri="http://schemas.openxmlformats.org/drawingml/2006/picture">
                      <pic:pic>
                        <pic:nvPicPr>
                          <pic:cNvPr id="14108318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VÍCAR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1903610" name="Picture">
</wp:docPr>
                  <a:graphic>
                    <a:graphicData uri="http://schemas.openxmlformats.org/drawingml/2006/picture">
                      <pic:pic>
                        <pic:nvPicPr>
                          <pic:cNvPr id="34190361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6838726" name="Picture">
</wp:docPr>
                  <a:graphic>
                    <a:graphicData uri="http://schemas.openxmlformats.org/drawingml/2006/picture">
                      <pic:pic>
                        <pic:nvPicPr>
                          <pic:cNvPr id="17668387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91892589" name="Picture">
</wp:docPr>
                  <a:graphic>
                    <a:graphicData uri="http://schemas.openxmlformats.org/drawingml/2006/picture">
                      <pic:pic>
                        <pic:nvPicPr>
                          <pic:cNvPr id="14918925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4533816" name="Picture">
</wp:docPr>
                  <a:graphic>
                    <a:graphicData uri="http://schemas.openxmlformats.org/drawingml/2006/picture">
                      <pic:pic>
                        <pic:nvPicPr>
                          <pic:cNvPr id="19445338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52184312" name="Picture">
</wp:docPr>
                  <a:graphic>
                    <a:graphicData uri="http://schemas.openxmlformats.org/drawingml/2006/picture">
                      <pic:pic>
                        <pic:nvPicPr>
                          <pic:cNvPr id="75218431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5183542" name="Picture">
</wp:docPr>
                  <a:graphic>
                    <a:graphicData uri="http://schemas.openxmlformats.org/drawingml/2006/picture">
                      <pic:pic>
                        <pic:nvPicPr>
                          <pic:cNvPr id="72518354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9744016" name="Picture">
</wp:docPr>
                  <a:graphic>
                    <a:graphicData uri="http://schemas.openxmlformats.org/drawingml/2006/picture">
                      <pic:pic>
                        <pic:nvPicPr>
                          <pic:cNvPr id="90974401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VÍCAR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VÍCAR,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9660183" name="Picture">
</wp:docPr>
                  <a:graphic>
                    <a:graphicData uri="http://schemas.openxmlformats.org/drawingml/2006/picture">
                      <pic:pic>
                        <pic:nvPicPr>
                          <pic:cNvPr id="137966018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4423608" name="Picture">
</wp:docPr>
                  <a:graphic>
                    <a:graphicData uri="http://schemas.openxmlformats.org/drawingml/2006/picture">
                      <pic:pic>
                        <pic:nvPicPr>
                          <pic:cNvPr id="49442360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VÍCAR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43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4488036" name="Picture">
</wp:docPr>
                  <a:graphic>
                    <a:graphicData uri="http://schemas.openxmlformats.org/drawingml/2006/picture">
                      <pic:pic>
                        <pic:nvPicPr>
                          <pic:cNvPr id="185448803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2197936" name="Picture">
</wp:docPr>
                  <a:graphic>
                    <a:graphicData uri="http://schemas.openxmlformats.org/drawingml/2006/picture">
                      <pic:pic>
                        <pic:nvPicPr>
                          <pic:cNvPr id="34219793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18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85,71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57,14</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44,44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1121426" name="Picture">
</wp:docPr>
                  <a:graphic>
                    <a:graphicData uri="http://schemas.openxmlformats.org/drawingml/2006/picture">
                      <pic:pic>
                        <pic:nvPicPr>
                          <pic:cNvPr id="89112142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8015290" name="Picture">
</wp:docPr>
                  <a:graphic>
                    <a:graphicData uri="http://schemas.openxmlformats.org/drawingml/2006/picture">
                      <pic:pic>
                        <pic:nvPicPr>
                          <pic:cNvPr id="189801529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05009936" name="Picture">
</wp:docPr>
                  <a:graphic>
                    <a:graphicData uri="http://schemas.openxmlformats.org/drawingml/2006/picture">
                      <pic:pic>
                        <pic:nvPicPr>
                          <pic:cNvPr id="110500993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97251228" name="Picture">
</wp:docPr>
                  <a:graphic>
                    <a:graphicData uri="http://schemas.openxmlformats.org/drawingml/2006/picture">
                      <pic:pic>
                        <pic:nvPicPr>
                          <pic:cNvPr id="49725122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