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0335322" name="Picture">
</wp:docPr>
                  <a:graphic>
                    <a:graphicData uri="http://schemas.openxmlformats.org/drawingml/2006/picture">
                      <pic:pic>
                        <pic:nvPicPr>
                          <pic:cNvPr id="63033532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3623745" name="Picture">
</wp:docPr>
                  <a:graphic>
                    <a:graphicData uri="http://schemas.openxmlformats.org/drawingml/2006/picture">
                      <pic:pic>
                        <pic:nvPicPr>
                          <pic:cNvPr id="18036237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1491887" name="Picture">
</wp:docPr>
                  <a:graphic>
                    <a:graphicData uri="http://schemas.openxmlformats.org/drawingml/2006/picture">
                      <pic:pic>
                        <pic:nvPicPr>
                          <pic:cNvPr id="15514918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5687992" name="Picture">
</wp:docPr>
                  <a:graphic>
                    <a:graphicData uri="http://schemas.openxmlformats.org/drawingml/2006/picture">
                      <pic:pic>
                        <pic:nvPicPr>
                          <pic:cNvPr id="17656879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5686041" name="Picture">
</wp:docPr>
                  <a:graphic>
                    <a:graphicData uri="http://schemas.openxmlformats.org/drawingml/2006/picture">
                      <pic:pic>
                        <pic:nvPicPr>
                          <pic:cNvPr id="4856860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730355" name="Picture">
</wp:docPr>
                  <a:graphic>
                    <a:graphicData uri="http://schemas.openxmlformats.org/drawingml/2006/picture">
                      <pic:pic>
                        <pic:nvPicPr>
                          <pic:cNvPr id="16673035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56325941" name="Picture">
</wp:docPr>
                  <a:graphic>
                    <a:graphicData uri="http://schemas.openxmlformats.org/drawingml/2006/picture">
                      <pic:pic>
                        <pic:nvPicPr>
                          <pic:cNvPr id="65632594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2245669" name="Picture">
</wp:docPr>
                  <a:graphic>
                    <a:graphicData uri="http://schemas.openxmlformats.org/drawingml/2006/picture">
                      <pic:pic>
                        <pic:nvPicPr>
                          <pic:cNvPr id="85224566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2811829" name="Picture">
</wp:docPr>
                  <a:graphic>
                    <a:graphicData uri="http://schemas.openxmlformats.org/drawingml/2006/picture">
                      <pic:pic>
                        <pic:nvPicPr>
                          <pic:cNvPr id="29281182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INSTINCIÓN,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1941401" name="Picture">
</wp:docPr>
                  <a:graphic>
                    <a:graphicData uri="http://schemas.openxmlformats.org/drawingml/2006/picture">
                      <pic:pic>
                        <pic:nvPicPr>
                          <pic:cNvPr id="16419414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6355203" name="Picture">
</wp:docPr>
                  <a:graphic>
                    <a:graphicData uri="http://schemas.openxmlformats.org/drawingml/2006/picture">
                      <pic:pic>
                        <pic:nvPicPr>
                          <pic:cNvPr id="49635520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6569843" name="Picture">
</wp:docPr>
                  <a:graphic>
                    <a:graphicData uri="http://schemas.openxmlformats.org/drawingml/2006/picture">
                      <pic:pic>
                        <pic:nvPicPr>
                          <pic:cNvPr id="13965698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3524321" name="Picture">
</wp:docPr>
                  <a:graphic>
                    <a:graphicData uri="http://schemas.openxmlformats.org/drawingml/2006/picture">
                      <pic:pic>
                        <pic:nvPicPr>
                          <pic:cNvPr id="9235243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0679023" name="Picture">
</wp:docPr>
                  <a:graphic>
                    <a:graphicData uri="http://schemas.openxmlformats.org/drawingml/2006/picture">
                      <pic:pic>
                        <pic:nvPicPr>
                          <pic:cNvPr id="49067902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8653028" name="Picture">
</wp:docPr>
                  <a:graphic>
                    <a:graphicData uri="http://schemas.openxmlformats.org/drawingml/2006/picture">
                      <pic:pic>
                        <pic:nvPicPr>
                          <pic:cNvPr id="50865302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8548075" name="Picture">
</wp:docPr>
                  <a:graphic>
                    <a:graphicData uri="http://schemas.openxmlformats.org/drawingml/2006/picture">
                      <pic:pic>
                        <pic:nvPicPr>
                          <pic:cNvPr id="10285480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6836676" name="Picture">
</wp:docPr>
                  <a:graphic>
                    <a:graphicData uri="http://schemas.openxmlformats.org/drawingml/2006/picture">
                      <pic:pic>
                        <pic:nvPicPr>
                          <pic:cNvPr id="198683667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